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5663E">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95663E">
        <w:rPr>
          <w:rFonts w:ascii="Palatino Linotype" w:hAnsi="Palatino Linotype" w:cs="Arial"/>
          <w:b/>
          <w:bCs/>
        </w:rPr>
        <w:t>47</w:t>
      </w:r>
      <w:r w:rsidR="00343CBE">
        <w:rPr>
          <w:rFonts w:ascii="Palatino Linotype" w:hAnsi="Palatino Linotype" w:cs="Arial"/>
          <w:b/>
          <w:bCs/>
        </w:rPr>
        <w:t>94</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5663E">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95663E">
        <w:rPr>
          <w:rFonts w:ascii="Palatino Linotype" w:hAnsi="Palatino Linotype" w:cs="Arial"/>
          <w:b/>
          <w:bCs/>
        </w:rPr>
        <w:t>7</w:t>
      </w:r>
      <w:r w:rsidR="00343CBE">
        <w:rPr>
          <w:rFonts w:ascii="Palatino Linotype" w:hAnsi="Palatino Linotype" w:cs="Arial"/>
          <w:b/>
          <w:bCs/>
        </w:rPr>
        <w:t>94/</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343CBE">
        <w:rPr>
          <w:rFonts w:ascii="Palatino Linotype" w:hAnsi="Palatino Linotype" w:cs="Arial"/>
          <w:b/>
        </w:rPr>
        <w:t>JAVIER MARTÍNEZ CRUZ</w:t>
      </w:r>
      <w:r w:rsidR="00E92479"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95663E">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Tal y como quedó precisado en los resultandos de la resolución materia de análisis, la </w:t>
      </w:r>
      <w:proofErr w:type="gramStart"/>
      <w:r w:rsidRPr="0095663E">
        <w:rPr>
          <w:rFonts w:ascii="Palatino Linotype" w:hAnsi="Palatino Linotype" w:cs="Arial"/>
        </w:rPr>
        <w:t>particular</w:t>
      </w:r>
      <w:proofErr w:type="gramEnd"/>
      <w:r w:rsidRPr="0095663E">
        <w:rPr>
          <w:rFonts w:ascii="Palatino Linotype" w:hAnsi="Palatino Linotype" w:cs="Arial"/>
        </w:rPr>
        <w:t xml:space="preserve"> requirió del Ayuntamiento de San Felipe del Progreso, en lo sucesivo </w:t>
      </w:r>
      <w:r w:rsidRPr="0095663E">
        <w:rPr>
          <w:rFonts w:ascii="Palatino Linotype" w:hAnsi="Palatino Linotype" w:cs="Arial"/>
          <w:b/>
        </w:rPr>
        <w:t>EL SUJETO OBLIGADO,</w:t>
      </w:r>
      <w:r w:rsidRPr="0095663E">
        <w:rPr>
          <w:rFonts w:ascii="Palatino Linotype" w:hAnsi="Palatino Linotype" w:cs="Arial"/>
        </w:rPr>
        <w:t xml:space="preserve"> la siguiente información:</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lastRenderedPageBreak/>
        <w:t xml:space="preserve">“I.- PRESUPUESTO DEL SISTEMA DE ALUMBRADO PÚBLICO MUNICIPAL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1. El importe por concepto de alumbrado público facturado por CFE en el municipio, desglosado ya sea por mes o bimestre, de los años 2013, 2014, 2015, 2016, 2017 y los meses que van de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II.- INFRAESTRUCTURA DEL SISTEMA DE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6. Se solicita el censo de alumbrado público de los ejercicios 2016, 2017, 2018 o en su caso, el censo más reciente del municipio, en el que se desglose la siguiente información: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a. Me indique la cantidad de luminarias y balastros, el tipo de equipos, la capacidad (potencia), la ubicación (calle y/o colonia y/o delegación), y el tipo de poste en el que están montadas las luminarias (lámina, concreto, madera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lastRenderedPageBreak/>
        <w:t>b. El Registro Permanente de Usuario (</w:t>
      </w:r>
      <w:proofErr w:type="spellStart"/>
      <w:r w:rsidRPr="0095663E">
        <w:rPr>
          <w:rFonts w:ascii="Palatino Linotype" w:hAnsi="Palatino Linotype" w:cs="Arial"/>
          <w:i/>
          <w:sz w:val="22"/>
        </w:rPr>
        <w:t>RPU</w:t>
      </w:r>
      <w:proofErr w:type="spellEnd"/>
      <w:r w:rsidRPr="0095663E">
        <w:rPr>
          <w:rFonts w:ascii="Palatino Linotype" w:hAnsi="Palatino Linotype" w:cs="Arial"/>
          <w:i/>
          <w:sz w:val="22"/>
        </w:rPr>
        <w:t xml:space="preserve"> o </w:t>
      </w:r>
      <w:proofErr w:type="spellStart"/>
      <w:r w:rsidRPr="0095663E">
        <w:rPr>
          <w:rFonts w:ascii="Palatino Linotype" w:hAnsi="Palatino Linotype" w:cs="Arial"/>
          <w:i/>
          <w:sz w:val="22"/>
        </w:rPr>
        <w:t>RPUs</w:t>
      </w:r>
      <w:proofErr w:type="spellEnd"/>
      <w:r w:rsidRPr="0095663E">
        <w:rPr>
          <w:rFonts w:ascii="Palatino Linotype" w:hAnsi="Palatino Linotype" w:cs="Arial"/>
          <w:i/>
          <w:sz w:val="22"/>
        </w:rPr>
        <w:t xml:space="preserve">) asignado (s) al servicio de alumbrado público municipal tanto del servicio estimado como del servicio medido.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c. La cantidad desglosada de luminarias y balastros instalados, el tipo de equipos y su capacidad (potencia) instalados en las avenidas principales del municipio.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d. La cantidad de luminarias y balastros instalados, el tipo de equipos y su capacidad (potencia) instalados que poseen equipo de medición.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7. Del censo anterior al censo más reciente de luminarias y balastros del sistema de alumbrado público municipal que exista en el municipio, que contenga la siguiente información: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e. La cantidad de luminarias y balastros, el tipo de equipos, la capacidad (potencia), la ubicación (calle y/o colonia y/o delegación) y el tipo de poste en el que están montadas las luminarias (lámina, concreto, madera,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f. El Registro Permanente de Usuario (</w:t>
      </w:r>
      <w:proofErr w:type="spellStart"/>
      <w:r w:rsidRPr="0095663E">
        <w:rPr>
          <w:rFonts w:ascii="Palatino Linotype" w:hAnsi="Palatino Linotype" w:cs="Arial"/>
          <w:i/>
          <w:sz w:val="22"/>
        </w:rPr>
        <w:t>RPU</w:t>
      </w:r>
      <w:proofErr w:type="spellEnd"/>
      <w:r w:rsidRPr="0095663E">
        <w:rPr>
          <w:rFonts w:ascii="Palatino Linotype" w:hAnsi="Palatino Linotype" w:cs="Arial"/>
          <w:i/>
          <w:sz w:val="22"/>
        </w:rPr>
        <w:t xml:space="preserve"> o </w:t>
      </w:r>
      <w:proofErr w:type="spellStart"/>
      <w:r w:rsidRPr="0095663E">
        <w:rPr>
          <w:rFonts w:ascii="Palatino Linotype" w:hAnsi="Palatino Linotype" w:cs="Arial"/>
          <w:i/>
          <w:sz w:val="22"/>
        </w:rPr>
        <w:t>RPUs</w:t>
      </w:r>
      <w:proofErr w:type="spellEnd"/>
      <w:r w:rsidRPr="0095663E">
        <w:rPr>
          <w:rFonts w:ascii="Palatino Linotype" w:hAnsi="Palatino Linotype" w:cs="Arial"/>
          <w:i/>
          <w:sz w:val="22"/>
        </w:rPr>
        <w:t xml:space="preserve">) asignado (s) al servicio de alumbrado público municipal tanto del servicio estimado como del servicio medido.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III.- COBERTURA (EXPANSIÓN) DEL SISTEMA DE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8.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a. El monto total de la inversión,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b. El tipo o fuente de financiamiento (recurso propio, recurso estatal, recurso federal, crédito, arrendamiento, APP,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c. La cantidad de equipos colocados y/o sustituidos,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d. El tipo de equipos (</w:t>
      </w:r>
      <w:proofErr w:type="spellStart"/>
      <w:r w:rsidRPr="0095663E">
        <w:rPr>
          <w:rFonts w:ascii="Palatino Linotype" w:hAnsi="Palatino Linotype" w:cs="Arial"/>
          <w:i/>
          <w:sz w:val="22"/>
        </w:rPr>
        <w:t>Led</w:t>
      </w:r>
      <w:proofErr w:type="spellEnd"/>
      <w:r w:rsidRPr="0095663E">
        <w:rPr>
          <w:rFonts w:ascii="Palatino Linotype" w:hAnsi="Palatino Linotype" w:cs="Arial"/>
          <w:i/>
          <w:sz w:val="22"/>
        </w:rPr>
        <w:t xml:space="preserve">, </w:t>
      </w:r>
      <w:proofErr w:type="spellStart"/>
      <w:r w:rsidRPr="0095663E">
        <w:rPr>
          <w:rFonts w:ascii="Palatino Linotype" w:hAnsi="Palatino Linotype" w:cs="Arial"/>
          <w:i/>
          <w:sz w:val="22"/>
        </w:rPr>
        <w:t>VSAP</w:t>
      </w:r>
      <w:proofErr w:type="spellEnd"/>
      <w:r w:rsidRPr="0095663E">
        <w:rPr>
          <w:rFonts w:ascii="Palatino Linotype" w:hAnsi="Palatino Linotype" w:cs="Arial"/>
          <w:i/>
          <w:sz w:val="22"/>
        </w:rPr>
        <w:t xml:space="preserve">, suburbana,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e. La capacidad instalada (potencia),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f. La ubicación (calle y/o colonia y/o delegación).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g. La fecha de inicio y término de obra,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lastRenderedPageBreak/>
        <w:t xml:space="preserve">h. Así como la fecha de modificación de su nuevo consumo en el sistema de facturación del alumbrado público ante CFE.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i. En donde se notificaron o publicaron los proyectos.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IV.- MODERNIZACIÓN DEL SISTEMA DE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a. El monto total de la inversión,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b. El tipo o fuente de financiamiento (recurso propio, recurso estatal, recurso federal, crédito, arrendamiento, APP,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c. La cantidad de equipos colocados y/o sustituidos,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d. El tipo de equipos (</w:t>
      </w:r>
      <w:proofErr w:type="spellStart"/>
      <w:r w:rsidRPr="0095663E">
        <w:rPr>
          <w:rFonts w:ascii="Palatino Linotype" w:hAnsi="Palatino Linotype" w:cs="Arial"/>
          <w:i/>
          <w:sz w:val="22"/>
        </w:rPr>
        <w:t>Led</w:t>
      </w:r>
      <w:proofErr w:type="spellEnd"/>
      <w:r w:rsidRPr="0095663E">
        <w:rPr>
          <w:rFonts w:ascii="Palatino Linotype" w:hAnsi="Palatino Linotype" w:cs="Arial"/>
          <w:i/>
          <w:sz w:val="22"/>
        </w:rPr>
        <w:t xml:space="preserve">, </w:t>
      </w:r>
      <w:proofErr w:type="spellStart"/>
      <w:r w:rsidRPr="0095663E">
        <w:rPr>
          <w:rFonts w:ascii="Palatino Linotype" w:hAnsi="Palatino Linotype" w:cs="Arial"/>
          <w:i/>
          <w:sz w:val="22"/>
        </w:rPr>
        <w:t>VSAP</w:t>
      </w:r>
      <w:proofErr w:type="spellEnd"/>
      <w:r w:rsidRPr="0095663E">
        <w:rPr>
          <w:rFonts w:ascii="Palatino Linotype" w:hAnsi="Palatino Linotype" w:cs="Arial"/>
          <w:i/>
          <w:sz w:val="22"/>
        </w:rPr>
        <w:t xml:space="preserve">, suburbana, etcétera),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e. La capacidad instalada (potencia),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f. La ubicación (calle y/o colonia y/o delegación).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g. La fecha de inicio y término de obra,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h. La </w:t>
      </w:r>
      <w:proofErr w:type="spellStart"/>
      <w:r w:rsidRPr="0095663E">
        <w:rPr>
          <w:rFonts w:ascii="Palatino Linotype" w:hAnsi="Palatino Linotype" w:cs="Arial"/>
          <w:i/>
          <w:sz w:val="22"/>
        </w:rPr>
        <w:t>georreferenciación</w:t>
      </w:r>
      <w:proofErr w:type="spellEnd"/>
      <w:r w:rsidRPr="0095663E">
        <w:rPr>
          <w:rFonts w:ascii="Palatino Linotype" w:hAnsi="Palatino Linotype" w:cs="Arial"/>
          <w:i/>
          <w:sz w:val="22"/>
        </w:rPr>
        <w:t xml:space="preserve"> de cada uno de los puntos de luz del nuevo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i. La fecha de modificación de su nuevo consumo en el sistema de facturación del alumbrado público ante CFE.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j. El tipo de contrato celebrado para la adquisición de los nuevos equipos (licitación en su modalidad abierta o restringida, o adjudicación directa)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k. Número y nombre de las empresas concursantes o convocadas.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l. Los criterios de selección utilizados por el comité de adquisiciones para elegir a la empresa contratada para realizar la modernización del sistema de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m. El acta de cabildo en el cual se fundamenta, justifica, expone y autoriza el proyecto.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lastRenderedPageBreak/>
        <w:t xml:space="preserve">10. El número de solicitudes ciudadanas formales realizadas al municipio para ampliar el sistema de alumbrado público mediante proyectos de electrificación durante los años 2013, 2014, 2015, 2016, 2017 y los meses que van de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11. El número de solicitudes ciudadanas que fueron atendidas y concluidas para ampliar el sistema de alumbrado público durante los años 2013, 2014, 2015, 2016, 2017 y los meses que van del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V.- ADMINISTRACIÓN DEL SERVICIO DE ALUMBRADO PÚBLICO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1. Se solicita Copia del contrato de prestación de servicios por concepto de suministro de energía eléctrica por parte de la CFE al municipio (ayuntamiento).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2. Se solicita Copia del convenio de “Peso por Peso” firmado entre la CFE y el municipio (ayuntamiento).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3. Se solicita Copia del convenio para recaudar el Derecho de Alumbrado Público “</w:t>
      </w:r>
      <w:proofErr w:type="spellStart"/>
      <w:r w:rsidRPr="0095663E">
        <w:rPr>
          <w:rFonts w:ascii="Palatino Linotype" w:hAnsi="Palatino Linotype" w:cs="Arial"/>
          <w:i/>
          <w:sz w:val="22"/>
        </w:rPr>
        <w:t>DAP</w:t>
      </w:r>
      <w:proofErr w:type="spellEnd"/>
      <w:r w:rsidRPr="0095663E">
        <w:rPr>
          <w:rFonts w:ascii="Palatino Linotype" w:hAnsi="Palatino Linotype" w:cs="Arial"/>
          <w:i/>
          <w:sz w:val="22"/>
        </w:rPr>
        <w:t xml:space="preserve">” firmado entre la CFE y el municipio (ayuntamiento). Así como la recaudación (monto) reportado por CFE al municipio de los años 2013, 2014, 2015, 2016, 2017 y los meses que van de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4. El listado y/o número de juicios y controversias promovidos por particulares en contra del municipio por el cobro del Derecho de Alumbrado Público “</w:t>
      </w:r>
      <w:proofErr w:type="spellStart"/>
      <w:r w:rsidRPr="0095663E">
        <w:rPr>
          <w:rFonts w:ascii="Palatino Linotype" w:hAnsi="Palatino Linotype" w:cs="Arial"/>
          <w:i/>
          <w:sz w:val="22"/>
        </w:rPr>
        <w:t>DAP</w:t>
      </w:r>
      <w:proofErr w:type="spellEnd"/>
      <w:r w:rsidRPr="0095663E">
        <w:rPr>
          <w:rFonts w:ascii="Palatino Linotype" w:hAnsi="Palatino Linotype" w:cs="Arial"/>
          <w:i/>
          <w:sz w:val="22"/>
        </w:rPr>
        <w:t xml:space="preserve">” durante los años 2013, 2014, 2015, 2016, 2017 y los meses que van de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95663E" w:rsidRPr="0095663E" w:rsidRDefault="0095663E" w:rsidP="00B10F3D">
      <w:pPr>
        <w:spacing w:before="120" w:after="120"/>
        <w:ind w:left="851" w:right="899"/>
        <w:jc w:val="both"/>
        <w:rPr>
          <w:rFonts w:ascii="Palatino Linotype" w:hAnsi="Palatino Linotype" w:cs="Arial"/>
          <w:i/>
          <w:sz w:val="22"/>
        </w:rPr>
      </w:pPr>
      <w:r w:rsidRPr="0095663E">
        <w:rPr>
          <w:rFonts w:ascii="Palatino Linotype" w:hAnsi="Palatino Linotype" w:cs="Arial"/>
          <w:i/>
          <w:sz w:val="22"/>
        </w:rPr>
        <w:t>6. Las normas y lineamientos que el municipio sigue para operar y proporcionar el servicio de alumbrado público municipal“.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Al respecto, </w:t>
      </w:r>
      <w:r w:rsidRPr="0095663E">
        <w:rPr>
          <w:rFonts w:ascii="Palatino Linotype" w:hAnsi="Palatino Linotype" w:cs="Arial"/>
          <w:b/>
        </w:rPr>
        <w:t>EL SUJETO OBLIGADO</w:t>
      </w:r>
      <w:r w:rsidRPr="0095663E">
        <w:rPr>
          <w:rFonts w:ascii="Palatino Linotype" w:hAnsi="Palatino Linotype" w:cs="Arial"/>
        </w:rPr>
        <w:t xml:space="preserve"> no dio respuesta a la solicitud de acceso a la información; motivo por el cual la hoy </w:t>
      </w:r>
      <w:r w:rsidRPr="0095663E">
        <w:rPr>
          <w:rFonts w:ascii="Palatino Linotype" w:hAnsi="Palatino Linotype" w:cs="Arial"/>
          <w:b/>
        </w:rPr>
        <w:t>RECURRENTE</w:t>
      </w:r>
      <w:r w:rsidRPr="0095663E">
        <w:rPr>
          <w:rFonts w:ascii="Palatino Linotype" w:hAnsi="Palatino Linotype" w:cs="Arial"/>
        </w:rPr>
        <w:t xml:space="preserve"> interpuso el medio de defensa de mérito.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lastRenderedPageBreak/>
        <w:t xml:space="preserve">Posteriormente, </w:t>
      </w:r>
      <w:r w:rsidRPr="0095663E">
        <w:rPr>
          <w:rFonts w:ascii="Palatino Linotype" w:hAnsi="Palatino Linotype" w:cs="Arial"/>
          <w:b/>
        </w:rPr>
        <w:t>EL SUJETO OBLIGADO</w:t>
      </w:r>
      <w:r w:rsidRPr="0095663E">
        <w:rPr>
          <w:rFonts w:ascii="Palatino Linotype" w:hAnsi="Palatino Linotype" w:cs="Arial"/>
        </w:rPr>
        <w:t xml:space="preserve"> rindió su Informe Justificado, en el cual refirió que la información financiera del Ayuntamiento se encontraba disponible en el Portal de Información Pública de Oficio Mexiquense (IPOMEX); informó el número de luminarias instaladas en el Municipio; el monto total facturado a la Comisión Federal de Electricidad (CFE); el monto presupuestado para alumbrado público para el ejercicio fiscal 2016 y remitió el Tercer Informe de Gobierno del Presidente Municipal de San Felipe del Progreso Administración 2016-2018.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Derivado de lo anterior, la Ponencia Resolutora, en términos de lo dispuesto por el artículo 185, fracción III de la Ley de Transparencia y Acceso a la Información del Estado de México y Municipios, puso a la vista de la </w:t>
      </w:r>
      <w:r w:rsidRPr="0095663E">
        <w:rPr>
          <w:rFonts w:ascii="Palatino Linotype" w:hAnsi="Palatino Linotype" w:cs="Arial"/>
          <w:b/>
        </w:rPr>
        <w:t>RECURRENTE</w:t>
      </w:r>
      <w:r w:rsidRPr="0095663E">
        <w:rPr>
          <w:rFonts w:ascii="Palatino Linotype" w:hAnsi="Palatino Linotype" w:cs="Arial"/>
        </w:rPr>
        <w:t xml:space="preserve"> parte de la información remitida por </w:t>
      </w:r>
      <w:r w:rsidRPr="0095663E">
        <w:rPr>
          <w:rFonts w:ascii="Palatino Linotype" w:hAnsi="Palatino Linotype" w:cs="Arial"/>
          <w:b/>
        </w:rPr>
        <w:t>EL SUJETO OBLIGADO</w:t>
      </w:r>
      <w:r w:rsidRPr="0095663E">
        <w:rPr>
          <w:rFonts w:ascii="Palatino Linotype" w:hAnsi="Palatino Linotype" w:cs="Arial"/>
        </w:rPr>
        <w:t>.</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Derivado de lo anterior, </w:t>
      </w:r>
      <w:r w:rsidRPr="0095663E">
        <w:rPr>
          <w:rFonts w:ascii="Palatino Linotype" w:hAnsi="Palatino Linotype" w:cs="Arial"/>
          <w:b/>
        </w:rPr>
        <w:t>LA RECURRENTE</w:t>
      </w:r>
      <w:r w:rsidRPr="0095663E">
        <w:rPr>
          <w:rFonts w:ascii="Palatino Linotype" w:hAnsi="Palatino Linotype" w:cs="Arial"/>
        </w:rPr>
        <w:t xml:space="preserve"> manifestó que las direcciones web proporcionadas no redirigen a ningún documento y que no se precisó que información de los apartados de la solicitud se encuentra en dichos vínculos.</w:t>
      </w:r>
    </w:p>
    <w:p w:rsidR="0095663E" w:rsidRPr="0095663E" w:rsidRDefault="0095663E" w:rsidP="0095663E">
      <w:pPr>
        <w:spacing w:before="100" w:beforeAutospacing="1" w:after="100" w:afterAutospacing="1" w:line="360" w:lineRule="auto"/>
        <w:jc w:val="both"/>
        <w:rPr>
          <w:rFonts w:ascii="Palatino Linotype" w:hAnsi="Palatino Linotype" w:cs="Arial"/>
          <w:bCs/>
        </w:rPr>
      </w:pPr>
      <w:r w:rsidRPr="0095663E">
        <w:rPr>
          <w:rFonts w:ascii="Palatino Linotype" w:hAnsi="Palatino Linotype" w:cs="Arial"/>
        </w:rPr>
        <w:t xml:space="preserve">Bajo ese contexto y previo análisis del fondo del asunto, la Ponencia Resolutora determinó que las razones o motivos de inconformidad hechos valer por </w:t>
      </w:r>
      <w:r w:rsidRPr="0095663E">
        <w:rPr>
          <w:rFonts w:ascii="Palatino Linotype" w:hAnsi="Palatino Linotype" w:cs="Arial"/>
          <w:b/>
        </w:rPr>
        <w:t>LA</w:t>
      </w:r>
      <w:r w:rsidRPr="0095663E">
        <w:rPr>
          <w:rFonts w:ascii="Palatino Linotype" w:hAnsi="Palatino Linotype" w:cs="Arial"/>
        </w:rPr>
        <w:t xml:space="preserve"> </w:t>
      </w:r>
      <w:r w:rsidRPr="0095663E">
        <w:rPr>
          <w:rFonts w:ascii="Palatino Linotype" w:hAnsi="Palatino Linotype" w:cs="Arial"/>
          <w:b/>
        </w:rPr>
        <w:t>RECURRENTE</w:t>
      </w:r>
      <w:r w:rsidRPr="0095663E">
        <w:rPr>
          <w:rFonts w:ascii="Palatino Linotype" w:hAnsi="Palatino Linotype" w:cs="Arial"/>
        </w:rPr>
        <w:t xml:space="preserve"> devenía fundados; por lo que, ordenó al </w:t>
      </w:r>
      <w:r w:rsidRPr="0095663E">
        <w:rPr>
          <w:rFonts w:ascii="Palatino Linotype" w:hAnsi="Palatino Linotype" w:cs="Arial"/>
          <w:b/>
        </w:rPr>
        <w:t>SUJETO OBLIGADO</w:t>
      </w:r>
      <w:r w:rsidRPr="0095663E">
        <w:rPr>
          <w:rFonts w:ascii="Palatino Linotype" w:hAnsi="Palatino Linotype" w:cs="Arial"/>
        </w:rPr>
        <w:t xml:space="preserve"> la entrega, vía </w:t>
      </w:r>
      <w:r w:rsidRPr="0095663E">
        <w:rPr>
          <w:rFonts w:ascii="Palatino Linotype" w:hAnsi="Palatino Linotype" w:cs="Arial"/>
          <w:b/>
        </w:rPr>
        <w:t>SAIMEX</w:t>
      </w:r>
      <w:r w:rsidRPr="0095663E">
        <w:rPr>
          <w:rFonts w:ascii="Palatino Linotype" w:hAnsi="Palatino Linotype" w:cs="Arial"/>
        </w:rPr>
        <w:t xml:space="preserve">, de ser procedente en versión pública, </w:t>
      </w:r>
      <w:r w:rsidRPr="0095663E">
        <w:rPr>
          <w:rFonts w:ascii="Palatino Linotype" w:hAnsi="Palatino Linotype" w:cs="Arial"/>
          <w:bCs/>
        </w:rPr>
        <w:t>al mayor grado de desagregación posible, de lo siguiente:</w:t>
      </w:r>
    </w:p>
    <w:p w:rsidR="0095663E" w:rsidRPr="0095663E" w:rsidRDefault="0095663E" w:rsidP="00B10F3D">
      <w:pPr>
        <w:spacing w:before="120" w:after="120"/>
        <w:ind w:left="851" w:right="902"/>
        <w:jc w:val="both"/>
        <w:rPr>
          <w:rFonts w:ascii="Palatino Linotype" w:hAnsi="Palatino Linotype" w:cs="Arial"/>
          <w:bCs/>
          <w:i/>
          <w:sz w:val="22"/>
        </w:rPr>
      </w:pPr>
      <w:r w:rsidRPr="0095663E">
        <w:rPr>
          <w:rFonts w:ascii="Palatino Linotype" w:hAnsi="Palatino Linotype" w:cs="Arial"/>
          <w:bCs/>
          <w:i/>
          <w:sz w:val="22"/>
        </w:rPr>
        <w:lastRenderedPageBreak/>
        <w:t>“Del periodo del uno de enero de dos mil trece al trece de noviembre de dos mil dieciocho: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Documento o documentos en donde conste el importe por concepto de alumbrado público facturado por la CFE.</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i/>
          <w:sz w:val="22"/>
          <w:lang w:val="es-ES"/>
        </w:rPr>
        <w:t>Soporte documental en donde conste la partida (s) presupuestal (es) y monto (s) erogado (s) y pagado (s) para cubrir las facturas por concepto de consumo de energía eléctrica y el mantenimiento del sistema de alumbrado público.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i/>
          <w:sz w:val="22"/>
          <w:lang w:val="es-ES"/>
        </w:rPr>
        <w:t>Documento o documentos en donde conste el número de luminarias sustituidas, arregladas o transformadas así como sus características y lugar de ubicación, derivado del mantenimiento preventivo o correctivo del sistema de alumbrado público.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 xml:space="preserve">En el supuesto de haberse realizado proyectos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95663E">
        <w:rPr>
          <w:rFonts w:ascii="Palatino Linotype" w:hAnsi="Palatino Linotype" w:cs="Arial"/>
          <w:bCs/>
          <w:i/>
          <w:sz w:val="22"/>
          <w:lang w:val="es-ES"/>
        </w:rPr>
        <w:t>georreferenciación</w:t>
      </w:r>
      <w:proofErr w:type="spellEnd"/>
      <w:r w:rsidRPr="0095663E">
        <w:rPr>
          <w:rFonts w:ascii="Palatino Linotype" w:hAnsi="Palatino Linotype" w:cs="Arial"/>
          <w:bCs/>
          <w:i/>
          <w:sz w:val="22"/>
          <w:lang w:val="es-ES"/>
        </w:rPr>
        <w:t xml:space="preserve"> de cada uno de los puntos de luz del nuevo alumbrado.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Documento o documentos donde se desprenda el número de solicitudes para ampliar el sistema de alumbrado público mediante proyectos de electrificación, así como las atendidas y concluidas.</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Convenio (s) para recaudar el Derecho de Alumbrado Público celebrado con la Comisión Federal de Electricidad.</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lastRenderedPageBreak/>
        <w:t xml:space="preserve">Soporte documental que contenga el (los) monto (s) recaudado (s) por la CFE por concepto de </w:t>
      </w:r>
      <w:proofErr w:type="spellStart"/>
      <w:r w:rsidRPr="0095663E">
        <w:rPr>
          <w:rFonts w:ascii="Palatino Linotype" w:hAnsi="Palatino Linotype" w:cs="Arial"/>
          <w:bCs/>
          <w:i/>
          <w:sz w:val="22"/>
          <w:lang w:val="es-ES"/>
        </w:rPr>
        <w:t>DAP</w:t>
      </w:r>
      <w:proofErr w:type="spellEnd"/>
      <w:r w:rsidRPr="0095663E">
        <w:rPr>
          <w:rFonts w:ascii="Palatino Linotype" w:hAnsi="Palatino Linotype" w:cs="Arial"/>
          <w:bCs/>
          <w:i/>
          <w:sz w:val="22"/>
          <w:lang w:val="es-ES"/>
        </w:rPr>
        <w:t xml:space="preserve"> a favor del Sujeto Obligado.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Documento o documentos donde conste el número de juicios y/o controversias promovidos por particulares, por el cobro del Derecho de Alumbrado Público, que en su caso contenga el sentido de la resolución.</w:t>
      </w:r>
    </w:p>
    <w:p w:rsidR="0095663E" w:rsidRPr="0095663E" w:rsidRDefault="0095663E" w:rsidP="00B10F3D">
      <w:pPr>
        <w:spacing w:before="120" w:after="120"/>
        <w:ind w:left="851" w:right="902"/>
        <w:jc w:val="both"/>
        <w:rPr>
          <w:rFonts w:ascii="Palatino Linotype" w:hAnsi="Palatino Linotype" w:cs="Arial"/>
          <w:bCs/>
          <w:i/>
          <w:sz w:val="22"/>
        </w:rPr>
      </w:pPr>
      <w:r w:rsidRPr="0095663E">
        <w:rPr>
          <w:rFonts w:ascii="Palatino Linotype" w:hAnsi="Palatino Linotype" w:cs="Arial"/>
          <w:bCs/>
          <w:i/>
          <w:sz w:val="22"/>
        </w:rPr>
        <w:t xml:space="preserve">De los ejercicios 2016, 2017 o el más actualizado al 2018 </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Censo o el documento análogo donde conste el número de luminarias y balastros en el municipio que contenga las instaladas en avenidas principales, así como sus características y lugares de ubicación.</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Soporte documental de donde se advierta el</w:t>
      </w:r>
      <w:r w:rsidRPr="0095663E">
        <w:rPr>
          <w:rFonts w:ascii="Palatino Linotype" w:hAnsi="Palatino Linotype" w:cs="Arial"/>
          <w:i/>
          <w:sz w:val="22"/>
          <w:lang w:val="es-ES"/>
        </w:rPr>
        <w:t xml:space="preserve"> Registro Móvil de Usuario (</w:t>
      </w:r>
      <w:proofErr w:type="spellStart"/>
      <w:r w:rsidRPr="0095663E">
        <w:rPr>
          <w:rFonts w:ascii="Palatino Linotype" w:hAnsi="Palatino Linotype" w:cs="Arial"/>
          <w:i/>
          <w:sz w:val="22"/>
          <w:lang w:val="es-ES"/>
        </w:rPr>
        <w:t>RMU</w:t>
      </w:r>
      <w:proofErr w:type="spellEnd"/>
      <w:r w:rsidRPr="0095663E">
        <w:rPr>
          <w:rFonts w:ascii="Palatino Linotype" w:hAnsi="Palatino Linotype" w:cs="Arial"/>
          <w:i/>
          <w:sz w:val="22"/>
          <w:lang w:val="es-ES"/>
        </w:rPr>
        <w:t>) asignado al servicio de alumbrado público.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Documento en donde conste el monto y fecha del adeudo por concepto de consumo de energía eléctrica en el alumbrado público, actualizado al trece de noviembre de dos mil dieciocho.</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El (los) último (s) Contrato (s) celebrado (s) con la Comisión Federal de Electricidad por concepto de suministro de energía eléctrica a la fecha de la solicitud.</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El último convenio denominado “Peso por Peso”, celebrado con la Comisión Federal de Electricidad, a la fecha de la solicitud.</w:t>
      </w:r>
    </w:p>
    <w:p w:rsidR="0095663E" w:rsidRPr="0095663E" w:rsidRDefault="0095663E" w:rsidP="00B10F3D">
      <w:pPr>
        <w:numPr>
          <w:ilvl w:val="0"/>
          <w:numId w:val="13"/>
        </w:numPr>
        <w:spacing w:before="120" w:after="120"/>
        <w:ind w:left="851" w:right="902"/>
        <w:jc w:val="both"/>
        <w:rPr>
          <w:rFonts w:ascii="Palatino Linotype" w:hAnsi="Palatino Linotype" w:cs="Arial"/>
          <w:bCs/>
          <w:i/>
          <w:sz w:val="22"/>
          <w:lang w:val="es-ES"/>
        </w:rPr>
      </w:pPr>
      <w:r w:rsidRPr="0095663E">
        <w:rPr>
          <w:rFonts w:ascii="Palatino Linotype" w:hAnsi="Palatino Linotype" w:cs="Arial"/>
          <w:bCs/>
          <w:i/>
          <w:sz w:val="22"/>
          <w:lang w:val="es-ES"/>
        </w:rPr>
        <w:t xml:space="preserve">Normatividad vigente al trece de noviembre dos mil dieciocho, </w:t>
      </w:r>
      <w:r w:rsidRPr="0095663E">
        <w:rPr>
          <w:rFonts w:ascii="Palatino Linotype" w:hAnsi="Palatino Linotype" w:cs="Arial"/>
          <w:i/>
          <w:sz w:val="22"/>
          <w:lang w:val="es-ES"/>
        </w:rPr>
        <w:t>para operar y proporcionar el servicio de alumbrado público.</w:t>
      </w:r>
    </w:p>
    <w:p w:rsidR="0095663E" w:rsidRP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Para la entrega de la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95663E" w:rsidRP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Para el caso, que la información que se ordena en los numerales 4, 5, 6, 9, 12 y 14 no se haya generado o no se encuentre en posesión del Sujeto Obligado bastará con que lo haga del conocimiento de la particular.”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De lo anteriormente expuesto, la suscrita reitera que si bien es cierto que coincido con el sentido en que se resuelve el Recurso de Revisión, en términos generales; sin </w:t>
      </w:r>
      <w:r w:rsidRPr="0095663E">
        <w:rPr>
          <w:rFonts w:ascii="Palatino Linotype" w:hAnsi="Palatino Linotype" w:cs="Arial"/>
        </w:rPr>
        <w:lastRenderedPageBreak/>
        <w:t xml:space="preserve">embargo, por cuanto hace a la información marcada con los numerales 10 al 15 del Resolutivo </w:t>
      </w:r>
      <w:r w:rsidRPr="0095663E">
        <w:rPr>
          <w:rFonts w:ascii="Palatino Linotype" w:hAnsi="Palatino Linotype" w:cs="Arial"/>
          <w:b/>
        </w:rPr>
        <w:t>SEGUNDO</w:t>
      </w:r>
      <w:r w:rsidRPr="0095663E">
        <w:rPr>
          <w:rFonts w:ascii="Palatino Linotype" w:hAnsi="Palatino Linotype" w:cs="Arial"/>
        </w:rPr>
        <w:t xml:space="preserve">, la Ponencia Resolutora determinó que </w:t>
      </w:r>
      <w:r w:rsidRPr="0095663E">
        <w:rPr>
          <w:rFonts w:ascii="Palatino Linotype" w:hAnsi="Palatino Linotype" w:cs="Arial"/>
          <w:b/>
        </w:rPr>
        <w:t>EL SUJETO OBLIGADO</w:t>
      </w:r>
      <w:r w:rsidRPr="0095663E">
        <w:rPr>
          <w:rFonts w:ascii="Palatino Linotype" w:hAnsi="Palatino Linotype" w:cs="Arial"/>
        </w:rPr>
        <w:t xml:space="preserve"> debía entregar la información de los ejercicios 2016, 2017 o bien lo más actualizado al 2018, situación </w:t>
      </w:r>
      <w:r w:rsidR="00B10F3D">
        <w:rPr>
          <w:rFonts w:ascii="Palatino Linotype" w:hAnsi="Palatino Linotype" w:cs="Arial"/>
        </w:rPr>
        <w:t>que no comparto ya que considero</w:t>
      </w:r>
      <w:r w:rsidRPr="0095663E">
        <w:rPr>
          <w:rFonts w:ascii="Palatino Linotype" w:hAnsi="Palatino Linotype" w:cs="Arial"/>
        </w:rPr>
        <w:t xml:space="preserve"> que debió delimitarse la temporalidad a la fecha en que se presentó la solicitud de acceso a la información, esto es, al 13 de noviembre de 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Lo anterior es así, ya que de las constancias que obran en el expediente electrónico del SAIMEX se advierte que el 13 de noviembre de 2018, la particular realizó su solicitud de origen; por lo que, lo procedente era que la Ponencia Resolutora, en términos de lo dispuesto por los artículos 13 y 181, cuarto párrafo de la Ley de Transparencia y Acceso a la Información del Estado de México y Municipios, homologara los resolutivos a fin de especificar que es hasta ésta última fecha a la cual debe atender </w:t>
      </w:r>
      <w:r w:rsidRPr="0095663E">
        <w:rPr>
          <w:rFonts w:ascii="Palatino Linotype" w:hAnsi="Palatino Linotype" w:cs="Arial"/>
          <w:b/>
        </w:rPr>
        <w:t>EL SUJETO OBLIGADO</w:t>
      </w:r>
      <w:r w:rsidRPr="0095663E">
        <w:rPr>
          <w:rFonts w:ascii="Palatino Linotype" w:hAnsi="Palatino Linotype" w:cs="Arial"/>
        </w:rPr>
        <w:t>, en atención a que es obligación de este Instituto suplir cualquier deficiencia para garantizar el ejercicio del Derecho de Acceso a la Información, aplicando la suplencia de la queja a favor de</w:t>
      </w:r>
      <w:r w:rsidRPr="0095663E">
        <w:rPr>
          <w:rFonts w:ascii="Palatino Linotype" w:hAnsi="Palatino Linotype" w:cs="Arial"/>
          <w:b/>
        </w:rPr>
        <w:t xml:space="preserve"> LA RECURRENTE</w:t>
      </w:r>
      <w:r w:rsidRPr="0095663E">
        <w:rPr>
          <w:rFonts w:ascii="Palatino Linotype" w:hAnsi="Palatino Linotype" w:cs="Arial"/>
        </w:rPr>
        <w:t>, sin cambiar los hechos expuestos. Sirven de sustento a lo anterior, los preceptos legales en cita:</w:t>
      </w:r>
    </w:p>
    <w:p w:rsidR="0095663E" w:rsidRPr="0095663E" w:rsidRDefault="0095663E" w:rsidP="00B10F3D">
      <w:pPr>
        <w:spacing w:before="120" w:after="120"/>
        <w:ind w:left="851" w:right="902"/>
        <w:jc w:val="both"/>
        <w:rPr>
          <w:rFonts w:ascii="Palatino Linotype" w:hAnsi="Palatino Linotype" w:cs="Arial"/>
          <w:b/>
          <w:i/>
          <w:sz w:val="22"/>
        </w:rPr>
      </w:pPr>
      <w:r w:rsidRPr="0095663E">
        <w:rPr>
          <w:rFonts w:ascii="Palatino Linotype" w:hAnsi="Palatino Linotype" w:cs="Arial"/>
          <w:b/>
          <w:i/>
          <w:sz w:val="22"/>
        </w:rPr>
        <w:t>“Artículo 13. El Instituto, en el ámbito de sus atribuciones, deberá suplir cualquier deficiencia para garantizar el ejercicio del derecho de acceso a la información.</w:t>
      </w:r>
    </w:p>
    <w:p w:rsidR="0095663E" w:rsidRP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w:t>
      </w:r>
      <w:r w:rsidRPr="0095663E">
        <w:rPr>
          <w:rFonts w:ascii="Palatino Linotype" w:hAnsi="Palatino Linotype" w:cs="Arial"/>
          <w:i/>
          <w:sz w:val="22"/>
        </w:rPr>
        <w:lastRenderedPageBreak/>
        <w:t xml:space="preserve">omisiones dentro de un plazo que no podrá exceder de cinco días hábiles, contados a partir del día siguiente de la notificación de la prevención, con el apercibimiento de que, de no cumplir, se desechará el recurso de revisión. </w:t>
      </w:r>
    </w:p>
    <w:p w:rsidR="0095663E" w:rsidRP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95663E" w:rsidRP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95663E" w:rsidRPr="0095663E" w:rsidRDefault="0095663E" w:rsidP="00B10F3D">
      <w:pPr>
        <w:spacing w:before="120" w:after="120"/>
        <w:ind w:left="851" w:right="902"/>
        <w:jc w:val="both"/>
        <w:rPr>
          <w:rFonts w:ascii="Palatino Linotype" w:hAnsi="Palatino Linotype" w:cs="Arial"/>
          <w:b/>
          <w:i/>
          <w:sz w:val="22"/>
        </w:rPr>
      </w:pPr>
      <w:r w:rsidRPr="0095663E">
        <w:rPr>
          <w:rFonts w:ascii="Palatino Linotype" w:hAnsi="Palatino Linotype" w:cs="Arial"/>
          <w:b/>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95663E" w:rsidRDefault="0095663E" w:rsidP="00B10F3D">
      <w:pPr>
        <w:spacing w:before="120" w:after="120"/>
        <w:ind w:left="851" w:right="902"/>
        <w:jc w:val="both"/>
        <w:rPr>
          <w:rFonts w:ascii="Palatino Linotype" w:hAnsi="Palatino Linotype" w:cs="Arial"/>
          <w:i/>
          <w:sz w:val="22"/>
        </w:rPr>
      </w:pPr>
      <w:r w:rsidRPr="0095663E">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 (Sic)</w:t>
      </w:r>
    </w:p>
    <w:p w:rsidR="0095663E" w:rsidRPr="0095663E" w:rsidRDefault="0095663E" w:rsidP="00B10F3D">
      <w:pPr>
        <w:spacing w:before="120" w:after="120"/>
        <w:ind w:left="851" w:right="902"/>
        <w:jc w:val="both"/>
        <w:rPr>
          <w:rFonts w:ascii="Palatino Linotype" w:hAnsi="Palatino Linotype" w:cs="Arial"/>
          <w:sz w:val="22"/>
        </w:rPr>
      </w:pPr>
      <w:r w:rsidRPr="0095663E">
        <w:rPr>
          <w:rFonts w:ascii="Palatino Linotype" w:hAnsi="Palatino Linotype" w:cs="Arial"/>
          <w:sz w:val="22"/>
        </w:rPr>
        <w:t>(Énfasis añadido).</w:t>
      </w:r>
    </w:p>
    <w:p w:rsidR="00B10F3D" w:rsidRPr="00B10F3D" w:rsidRDefault="00B10F3D" w:rsidP="00B10F3D">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a fin de</w:t>
      </w:r>
      <w:r w:rsidRPr="00B10F3D">
        <w:rPr>
          <w:rFonts w:ascii="Palatino Linotype" w:hAnsi="Palatino Linotype" w:cs="Arial"/>
        </w:rPr>
        <w:t xml:space="preserve"> dar cumplimiento al principio de certeza jurídica que establece</w:t>
      </w:r>
      <w:r>
        <w:rPr>
          <w:rFonts w:ascii="Palatino Linotype" w:hAnsi="Palatino Linotype" w:cs="Arial"/>
        </w:rPr>
        <w:t xml:space="preserve"> el</w:t>
      </w:r>
      <w:r w:rsidRPr="00B10F3D">
        <w:rPr>
          <w:rFonts w:ascii="Palatino Linotype" w:hAnsi="Palatino Linotype" w:cs="Arial"/>
        </w:rPr>
        <w:t xml:space="preserve"> artículo </w:t>
      </w:r>
      <w:r>
        <w:rPr>
          <w:rFonts w:ascii="Palatino Linotype" w:hAnsi="Palatino Linotype" w:cs="Arial"/>
        </w:rPr>
        <w:t xml:space="preserve">9, fracción I </w:t>
      </w:r>
      <w:r w:rsidRPr="00B10F3D">
        <w:rPr>
          <w:rFonts w:ascii="Palatino Linotype" w:hAnsi="Palatino Linotype" w:cs="Arial"/>
        </w:rPr>
        <w:t>de la Ley Sustantiva y que se trascribe a continuación:</w:t>
      </w:r>
    </w:p>
    <w:p w:rsidR="00B10F3D" w:rsidRPr="00B10F3D" w:rsidRDefault="00B10F3D" w:rsidP="00B10F3D">
      <w:pPr>
        <w:spacing w:before="120" w:after="120"/>
        <w:ind w:left="851" w:right="902"/>
        <w:jc w:val="both"/>
        <w:rPr>
          <w:rFonts w:ascii="Palatino Linotype" w:hAnsi="Palatino Linotype" w:cs="Arial"/>
          <w:b/>
          <w:bCs/>
          <w:i/>
          <w:sz w:val="22"/>
        </w:rPr>
      </w:pPr>
      <w:r w:rsidRPr="00B10F3D">
        <w:rPr>
          <w:rFonts w:ascii="Palatino Linotype" w:hAnsi="Palatino Linotype" w:cs="Arial"/>
          <w:b/>
          <w:bCs/>
          <w:i/>
          <w:sz w:val="22"/>
        </w:rPr>
        <w:t>“Artículo 9. El Instituto deberá regir su funcionamiento de acuerdo a los siguientes principios:</w:t>
      </w:r>
    </w:p>
    <w:p w:rsidR="00B10F3D" w:rsidRPr="00B10F3D" w:rsidRDefault="00B10F3D" w:rsidP="00B10F3D">
      <w:pPr>
        <w:spacing w:before="120" w:after="120"/>
        <w:ind w:left="851" w:right="902"/>
        <w:jc w:val="both"/>
        <w:rPr>
          <w:rFonts w:ascii="Palatino Linotype" w:hAnsi="Palatino Linotype" w:cs="Arial"/>
          <w:bCs/>
          <w:i/>
          <w:sz w:val="22"/>
        </w:rPr>
      </w:pPr>
      <w:r w:rsidRPr="00B10F3D">
        <w:rPr>
          <w:rFonts w:ascii="Palatino Linotype" w:hAnsi="Palatino Linotype" w:cs="Arial"/>
          <w:b/>
          <w:bCs/>
          <w:i/>
          <w:sz w:val="22"/>
        </w:rPr>
        <w:t>I. Certeza:</w:t>
      </w:r>
      <w:r w:rsidRPr="00B10F3D">
        <w:rPr>
          <w:rFonts w:ascii="Palatino Linotype" w:hAnsi="Palatino Linotype" w:cs="Arial"/>
          <w:bCs/>
          <w:i/>
          <w:sz w:val="22"/>
        </w:rPr>
        <w:t xml:space="preserve"> Principio que </w:t>
      </w:r>
      <w:r w:rsidRPr="00B10F3D">
        <w:rPr>
          <w:rFonts w:ascii="Palatino Linotype" w:hAnsi="Palatino Linotype" w:cs="Arial"/>
          <w:b/>
          <w:bCs/>
          <w:i/>
          <w:sz w:val="22"/>
        </w:rPr>
        <w:t>otorga seguridad y certidumbre jurídica a los particulares</w:t>
      </w:r>
      <w:r w:rsidRPr="00B10F3D">
        <w:rPr>
          <w:rFonts w:ascii="Palatino Linotype" w:hAnsi="Palatino Linotype" w:cs="Arial"/>
          <w:bCs/>
          <w:i/>
          <w:sz w:val="22"/>
        </w:rPr>
        <w:t xml:space="preserve">, en virtud de que permite conocer si las acciones del Instituto son apegadas a derecho y garantiza que los procedimientos sean completamente verificables, fidedignos y confiables; </w:t>
      </w:r>
    </w:p>
    <w:p w:rsidR="00B10F3D" w:rsidRPr="00B10F3D" w:rsidRDefault="00B10F3D" w:rsidP="00B10F3D">
      <w:pPr>
        <w:spacing w:before="120" w:after="120"/>
        <w:ind w:left="851" w:right="902"/>
        <w:jc w:val="both"/>
        <w:rPr>
          <w:rFonts w:ascii="Palatino Linotype" w:hAnsi="Palatino Linotype" w:cs="Arial"/>
          <w:b/>
          <w:bCs/>
          <w:i/>
          <w:sz w:val="22"/>
        </w:rPr>
      </w:pPr>
      <w:r w:rsidRPr="00B10F3D">
        <w:rPr>
          <w:rFonts w:ascii="Palatino Linotype" w:hAnsi="Palatino Linotype" w:cs="Arial"/>
          <w:b/>
          <w:bCs/>
          <w:i/>
          <w:sz w:val="22"/>
        </w:rPr>
        <w:t>…</w:t>
      </w:r>
    </w:p>
    <w:p w:rsidR="00B10F3D" w:rsidRPr="00B10F3D" w:rsidRDefault="00B10F3D" w:rsidP="00B10F3D">
      <w:pPr>
        <w:spacing w:before="120" w:after="120"/>
        <w:ind w:left="851" w:right="902"/>
        <w:jc w:val="both"/>
        <w:rPr>
          <w:rFonts w:ascii="Palatino Linotype" w:hAnsi="Palatino Linotype" w:cs="Arial"/>
          <w:bCs/>
          <w:i/>
          <w:sz w:val="22"/>
        </w:rPr>
      </w:pPr>
      <w:r w:rsidRPr="00B10F3D">
        <w:rPr>
          <w:rFonts w:ascii="Palatino Linotype" w:hAnsi="Palatino Linotype" w:cs="Arial"/>
          <w:bCs/>
          <w:i/>
          <w:sz w:val="22"/>
        </w:rPr>
        <w:t>(Énfasis añadido)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lastRenderedPageBreak/>
        <w:t xml:space="preserve">En conclusión, la suscrita emite </w:t>
      </w:r>
      <w:r w:rsidRPr="0095663E">
        <w:rPr>
          <w:rFonts w:ascii="Palatino Linotype" w:hAnsi="Palatino Linotype" w:cs="Arial"/>
          <w:b/>
        </w:rPr>
        <w:t>VOTO PARTICULAR</w:t>
      </w:r>
      <w:r w:rsidRPr="0095663E">
        <w:rPr>
          <w:rFonts w:ascii="Palatino Linotype" w:hAnsi="Palatino Linotype" w:cs="Arial"/>
        </w:rPr>
        <w:t>, pues reitera que si bien coincido, en términos generales, con el sentido en que se resuelve el presente medio de impugnación, estimo que la Ponencia Resolutora debió delimitar la temporalidad de la informac</w:t>
      </w:r>
      <w:r w:rsidR="00AF37B9">
        <w:rPr>
          <w:rFonts w:ascii="Palatino Linotype" w:hAnsi="Palatino Linotype" w:cs="Arial"/>
        </w:rPr>
        <w:t>ión, concerniente a los numerale</w:t>
      </w:r>
      <w:r w:rsidRPr="0095663E">
        <w:rPr>
          <w:rFonts w:ascii="Palatino Linotype" w:hAnsi="Palatino Linotype" w:cs="Arial"/>
        </w:rPr>
        <w:t xml:space="preserve">s 10 al 15 del Resolutivo </w:t>
      </w:r>
      <w:r w:rsidRPr="0095663E">
        <w:rPr>
          <w:rFonts w:ascii="Palatino Linotype" w:hAnsi="Palatino Linotype" w:cs="Arial"/>
          <w:b/>
        </w:rPr>
        <w:t>SEGUNDO</w:t>
      </w:r>
      <w:r w:rsidRPr="0095663E">
        <w:rPr>
          <w:rFonts w:ascii="Palatino Linotype" w:hAnsi="Palatino Linotype" w:cs="Arial"/>
        </w:rPr>
        <w:t>, a la fecha de la solicitud de acceso a la información, esto es, al 13 de noviembre de 20108, con fundamento en los artículos 13 y 181, cuarto párrafo de la Ley de Transparencia y Acceso a la Información del Estado de México y Municipios.</w:t>
      </w:r>
    </w:p>
    <w:p w:rsidR="0095663E" w:rsidRDefault="0095663E" w:rsidP="0095663E">
      <w:pPr>
        <w:spacing w:before="100" w:beforeAutospacing="1" w:after="100" w:afterAutospacing="1" w:line="360" w:lineRule="auto"/>
        <w:jc w:val="both"/>
        <w:rPr>
          <w:rFonts w:ascii="Palatino Linotype" w:hAnsi="Palatino Linotype" w:cs="Arial"/>
        </w:rPr>
      </w:pPr>
    </w:p>
    <w:p w:rsidR="00992FFB" w:rsidRDefault="00992FFB" w:rsidP="0095663E">
      <w:pPr>
        <w:spacing w:before="100" w:beforeAutospacing="1" w:after="100" w:afterAutospacing="1"/>
        <w:jc w:val="center"/>
        <w:rPr>
          <w:rFonts w:ascii="Palatino Linotype" w:hAnsi="Palatino Linotype"/>
          <w:b/>
        </w:rPr>
      </w:pPr>
    </w:p>
    <w:p w:rsidR="00992FFB" w:rsidRDefault="00992FFB" w:rsidP="0095663E">
      <w:pPr>
        <w:spacing w:before="100" w:beforeAutospacing="1" w:after="100" w:afterAutospacing="1"/>
        <w:jc w:val="center"/>
        <w:rPr>
          <w:rFonts w:ascii="Palatino Linotype" w:hAnsi="Palatino Linotype"/>
          <w:b/>
        </w:rPr>
      </w:pPr>
    </w:p>
    <w:p w:rsidR="0095663E" w:rsidRDefault="0095663E" w:rsidP="0095663E">
      <w:pPr>
        <w:spacing w:before="100" w:beforeAutospacing="1" w:after="100" w:afterAutospacing="1"/>
        <w:jc w:val="center"/>
        <w:rPr>
          <w:rFonts w:ascii="Palatino Linotype" w:hAnsi="Palatino Linotype"/>
          <w:b/>
        </w:rPr>
      </w:pPr>
    </w:p>
    <w:p w:rsidR="00B10F3D" w:rsidRDefault="00B10F3D" w:rsidP="0095663E">
      <w:pPr>
        <w:spacing w:before="100" w:beforeAutospacing="1" w:after="100" w:afterAutospacing="1"/>
        <w:jc w:val="center"/>
        <w:rPr>
          <w:rFonts w:ascii="Palatino Linotype" w:hAnsi="Palatino Linotype"/>
          <w:b/>
        </w:rPr>
      </w:pPr>
    </w:p>
    <w:p w:rsidR="00AF37B9" w:rsidRDefault="00AF37B9" w:rsidP="0095663E">
      <w:pPr>
        <w:spacing w:before="100" w:beforeAutospacing="1" w:after="100" w:afterAutospacing="1"/>
        <w:jc w:val="center"/>
        <w:rPr>
          <w:rFonts w:ascii="Palatino Linotype" w:hAnsi="Palatino Linotype"/>
          <w:b/>
        </w:rPr>
      </w:pPr>
    </w:p>
    <w:p w:rsidR="00FF1798" w:rsidRDefault="00FF1798" w:rsidP="0095663E">
      <w:pPr>
        <w:spacing w:before="100" w:beforeAutospacing="1" w:after="100" w:afterAutospacing="1"/>
        <w:jc w:val="center"/>
        <w:rPr>
          <w:rFonts w:ascii="Palatino Linotype" w:hAnsi="Palatino Linotype"/>
          <w:b/>
        </w:rPr>
      </w:pPr>
    </w:p>
    <w:p w:rsidR="00670931" w:rsidRPr="00535456" w:rsidRDefault="00670931" w:rsidP="0095663E">
      <w:pPr>
        <w:jc w:val="center"/>
        <w:rPr>
          <w:rFonts w:ascii="Palatino Linotype" w:hAnsi="Palatino Linotype"/>
          <w:b/>
        </w:rPr>
      </w:pPr>
      <w:r w:rsidRPr="00535456">
        <w:rPr>
          <w:rFonts w:ascii="Palatino Linotype" w:hAnsi="Palatino Linotype"/>
          <w:b/>
        </w:rPr>
        <w:t>EVA ABAID YAPUR</w:t>
      </w:r>
    </w:p>
    <w:p w:rsidR="00670931" w:rsidRPr="00535456" w:rsidRDefault="00670931" w:rsidP="0095663E">
      <w:pPr>
        <w:jc w:val="center"/>
        <w:rPr>
          <w:rFonts w:ascii="Palatino Linotype" w:hAnsi="Palatino Linotype"/>
          <w:b/>
        </w:rPr>
      </w:pPr>
      <w:r w:rsidRPr="00535456">
        <w:rPr>
          <w:rFonts w:ascii="Palatino Linotype" w:hAnsi="Palatino Linotype"/>
          <w:b/>
        </w:rPr>
        <w:t>COMISIONADA</w:t>
      </w:r>
    </w:p>
    <w:p w:rsidR="00FF1798" w:rsidRPr="00FF1798" w:rsidRDefault="00FF1798" w:rsidP="00FF1798">
      <w:pPr>
        <w:jc w:val="center"/>
        <w:rPr>
          <w:rFonts w:ascii="Palatino Linotype" w:hAnsi="Palatino Linotype"/>
          <w:b/>
        </w:rPr>
      </w:pPr>
      <w:r w:rsidRPr="00FF1798">
        <w:rPr>
          <w:rFonts w:ascii="Palatino Linotype" w:hAnsi="Palatino Linotype"/>
          <w:b/>
        </w:rPr>
        <w:t>(RÚBRICA)</w:t>
      </w:r>
    </w:p>
    <w:p w:rsidR="00AF37B9" w:rsidRDefault="00AF37B9" w:rsidP="0095663E">
      <w:pPr>
        <w:jc w:val="both"/>
        <w:rPr>
          <w:rFonts w:ascii="Palatino Linotype" w:eastAsia="Calibri" w:hAnsi="Palatino Linotype" w:cs="Arial"/>
          <w:sz w:val="20"/>
        </w:rPr>
      </w:pPr>
      <w:bookmarkStart w:id="0" w:name="_GoBack"/>
      <w:bookmarkEnd w:id="0"/>
    </w:p>
    <w:p w:rsidR="00AF37B9" w:rsidRDefault="00AF37B9" w:rsidP="0095663E">
      <w:pPr>
        <w:jc w:val="both"/>
        <w:rPr>
          <w:rFonts w:ascii="Palatino Linotype" w:eastAsia="Calibri" w:hAnsi="Palatino Linotype" w:cs="Arial"/>
          <w:sz w:val="20"/>
        </w:rPr>
      </w:pPr>
    </w:p>
    <w:p w:rsidR="00D36CA8" w:rsidRDefault="00D05D82" w:rsidP="0095663E">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95663E">
        <w:rPr>
          <w:rFonts w:ascii="Palatino Linotype" w:eastAsia="Calibri" w:hAnsi="Palatino Linotype" w:cs="Arial"/>
          <w:sz w:val="20"/>
        </w:rPr>
        <w:t>047</w:t>
      </w:r>
      <w:r w:rsidR="00343CBE">
        <w:rPr>
          <w:rFonts w:ascii="Palatino Linotype" w:eastAsia="Calibri" w:hAnsi="Palatino Linotype" w:cs="Arial"/>
          <w:sz w:val="20"/>
        </w:rPr>
        <w:t>94</w:t>
      </w:r>
      <w:r w:rsidR="00670931" w:rsidRPr="00535456">
        <w:rPr>
          <w:rFonts w:ascii="Palatino Linotype" w:eastAsia="Calibri" w:hAnsi="Palatino Linotype" w:cs="Arial"/>
          <w:sz w:val="20"/>
        </w:rPr>
        <w:t>/INFOEM/IP/RR/201</w:t>
      </w:r>
      <w:r w:rsidR="00343CBE">
        <w:rPr>
          <w:rFonts w:ascii="Palatino Linotype" w:eastAsia="Calibri" w:hAnsi="Palatino Linotype" w:cs="Arial"/>
          <w:sz w:val="20"/>
        </w:rPr>
        <w:t>8</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w:t>
      </w:r>
      <w:r w:rsidR="00E92479">
        <w:rPr>
          <w:rFonts w:ascii="Palatino Linotype" w:eastAsia="Calibri" w:hAnsi="Palatino Linotype" w:cs="Arial"/>
          <w:sz w:val="20"/>
        </w:rPr>
        <w:t>isie</w:t>
      </w:r>
      <w:r w:rsidR="00F65BE7">
        <w:rPr>
          <w:rFonts w:ascii="Palatino Linotype" w:eastAsia="Calibri" w:hAnsi="Palatino Linotype" w:cs="Arial"/>
          <w:sz w:val="20"/>
        </w:rPr>
        <w:t>t</w:t>
      </w:r>
      <w:r w:rsidR="00704C25">
        <w:rPr>
          <w:rFonts w:ascii="Palatino Linotype" w:eastAsia="Calibri" w:hAnsi="Palatino Linotype" w:cs="Arial"/>
          <w:sz w:val="20"/>
        </w:rPr>
        <w: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AF37B9" w:rsidRPr="00AF37B9" w:rsidRDefault="00AF37B9" w:rsidP="0095663E">
      <w:pPr>
        <w:jc w:val="both"/>
        <w:rPr>
          <w:rFonts w:ascii="Palatino Linotype" w:eastAsia="Calibri" w:hAnsi="Palatino Linotype" w:cs="Arial"/>
          <w:sz w:val="8"/>
          <w:szCs w:val="8"/>
        </w:rPr>
      </w:pPr>
    </w:p>
    <w:p w:rsidR="00A517EA" w:rsidRPr="00535456" w:rsidRDefault="00A517EA" w:rsidP="0095663E">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3D" w:rsidRDefault="00177B3D" w:rsidP="00DB3A83">
      <w:r>
        <w:separator/>
      </w:r>
    </w:p>
  </w:endnote>
  <w:endnote w:type="continuationSeparator" w:id="0">
    <w:p w:rsidR="00177B3D" w:rsidRDefault="00177B3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AF37B9" w:rsidRDefault="00AF37B9"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F1798">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F1798">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3D" w:rsidRDefault="00177B3D" w:rsidP="00DB3A83">
      <w:r>
        <w:separator/>
      </w:r>
    </w:p>
  </w:footnote>
  <w:footnote w:type="continuationSeparator" w:id="0">
    <w:p w:rsidR="00177B3D" w:rsidRDefault="00177B3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AF37B9"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AF37B9"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AF37B9"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04794</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FF1798"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20.45pt;height:91.5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0"/>
  </w:num>
  <w:num w:numId="2">
    <w:abstractNumId w:val="7"/>
  </w:num>
  <w:num w:numId="3">
    <w:abstractNumId w:val="2"/>
  </w:num>
  <w:num w:numId="4">
    <w:abstractNumId w:val="3"/>
  </w:num>
  <w:num w:numId="5">
    <w:abstractNumId w:val="0"/>
  </w:num>
  <w:num w:numId="6">
    <w:abstractNumId w:val="6"/>
  </w:num>
  <w:num w:numId="7">
    <w:abstractNumId w:val="11"/>
  </w:num>
  <w:num w:numId="8">
    <w:abstractNumId w:val="5"/>
  </w:num>
  <w:num w:numId="9">
    <w:abstractNumId w:val="4"/>
  </w:num>
  <w:num w:numId="10">
    <w:abstractNumId w:val="1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C82"/>
    <w:rsid w:val="000F0C55"/>
    <w:rsid w:val="000F4E57"/>
    <w:rsid w:val="00117480"/>
    <w:rsid w:val="00131CAC"/>
    <w:rsid w:val="0013225E"/>
    <w:rsid w:val="00177B3D"/>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7730C"/>
    <w:rsid w:val="00387039"/>
    <w:rsid w:val="0039638A"/>
    <w:rsid w:val="003A6BF6"/>
    <w:rsid w:val="003A742A"/>
    <w:rsid w:val="003B0314"/>
    <w:rsid w:val="003C2F6A"/>
    <w:rsid w:val="003C5476"/>
    <w:rsid w:val="003F730A"/>
    <w:rsid w:val="00403656"/>
    <w:rsid w:val="004275EC"/>
    <w:rsid w:val="00437359"/>
    <w:rsid w:val="0044438B"/>
    <w:rsid w:val="00445701"/>
    <w:rsid w:val="00460F1A"/>
    <w:rsid w:val="00464124"/>
    <w:rsid w:val="00474B93"/>
    <w:rsid w:val="00487B66"/>
    <w:rsid w:val="004B5C25"/>
    <w:rsid w:val="004B6DDA"/>
    <w:rsid w:val="004D5015"/>
    <w:rsid w:val="005124B3"/>
    <w:rsid w:val="00522F0D"/>
    <w:rsid w:val="0053148C"/>
    <w:rsid w:val="00535456"/>
    <w:rsid w:val="00536147"/>
    <w:rsid w:val="00553BC6"/>
    <w:rsid w:val="00557705"/>
    <w:rsid w:val="0057297A"/>
    <w:rsid w:val="00584608"/>
    <w:rsid w:val="005A4D7F"/>
    <w:rsid w:val="005B3099"/>
    <w:rsid w:val="005E5BA4"/>
    <w:rsid w:val="00623D4F"/>
    <w:rsid w:val="00631C0B"/>
    <w:rsid w:val="00637BC8"/>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5663E"/>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95F70"/>
    <w:rsid w:val="00A96975"/>
    <w:rsid w:val="00AA09B9"/>
    <w:rsid w:val="00AA7C2A"/>
    <w:rsid w:val="00AC2253"/>
    <w:rsid w:val="00AF01BA"/>
    <w:rsid w:val="00AF37B9"/>
    <w:rsid w:val="00B10F3D"/>
    <w:rsid w:val="00B12945"/>
    <w:rsid w:val="00B30650"/>
    <w:rsid w:val="00B40C46"/>
    <w:rsid w:val="00B54CD0"/>
    <w:rsid w:val="00B6126C"/>
    <w:rsid w:val="00B756DB"/>
    <w:rsid w:val="00B860BF"/>
    <w:rsid w:val="00B872F3"/>
    <w:rsid w:val="00B90FAF"/>
    <w:rsid w:val="00BB74CD"/>
    <w:rsid w:val="00BD46BB"/>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92479"/>
    <w:rsid w:val="00EA42ED"/>
    <w:rsid w:val="00EB1D9E"/>
    <w:rsid w:val="00EE5465"/>
    <w:rsid w:val="00EF530D"/>
    <w:rsid w:val="00F054F8"/>
    <w:rsid w:val="00F10238"/>
    <w:rsid w:val="00F2362C"/>
    <w:rsid w:val="00F332D0"/>
    <w:rsid w:val="00F33B5B"/>
    <w:rsid w:val="00F37E80"/>
    <w:rsid w:val="00F41FE4"/>
    <w:rsid w:val="00F441FF"/>
    <w:rsid w:val="00F51491"/>
    <w:rsid w:val="00F579EE"/>
    <w:rsid w:val="00F64CC1"/>
    <w:rsid w:val="00F65BE7"/>
    <w:rsid w:val="00F733A3"/>
    <w:rsid w:val="00F91A7F"/>
    <w:rsid w:val="00FA0BF5"/>
    <w:rsid w:val="00FA1193"/>
    <w:rsid w:val="00FA5F51"/>
    <w:rsid w:val="00FB6FE4"/>
    <w:rsid w:val="00FF17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D020-395F-478E-B13B-87E1D55C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2872</Words>
  <Characters>15797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2019-02-28T17:56:00Z</cp:lastPrinted>
  <dcterms:created xsi:type="dcterms:W3CDTF">2019-03-01T01:30:00Z</dcterms:created>
  <dcterms:modified xsi:type="dcterms:W3CDTF">2019-03-15T00:54:00Z</dcterms:modified>
</cp:coreProperties>
</file>